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90" w:rsidRDefault="004B3A90">
      <w:pPr>
        <w:pStyle w:val="ConsPlusTitlePage"/>
      </w:pPr>
      <w:r>
        <w:t xml:space="preserve">Документ предоставлен </w:t>
      </w:r>
      <w:hyperlink r:id="rId5" w:history="1">
        <w:r>
          <w:rPr>
            <w:color w:val="0000FF"/>
          </w:rPr>
          <w:t>КонсультантПлюс</w:t>
        </w:r>
      </w:hyperlink>
      <w:r>
        <w:br/>
      </w:r>
    </w:p>
    <w:p w:rsidR="004B3A90" w:rsidRDefault="004B3A90">
      <w:pPr>
        <w:pStyle w:val="ConsPlusNormal"/>
        <w:jc w:val="both"/>
        <w:outlineLvl w:val="0"/>
      </w:pPr>
    </w:p>
    <w:p w:rsidR="004B3A90" w:rsidRDefault="004B3A90">
      <w:pPr>
        <w:pStyle w:val="ConsPlusTitle"/>
        <w:jc w:val="center"/>
      </w:pPr>
      <w:r>
        <w:t>ФЕДЕРАЛЬНАЯ АНТИМОНОПОЛЬНАЯ СЛУЖБА</w:t>
      </w:r>
    </w:p>
    <w:p w:rsidR="004B3A90" w:rsidRDefault="004B3A90">
      <w:pPr>
        <w:pStyle w:val="ConsPlusTitle"/>
        <w:jc w:val="center"/>
      </w:pPr>
    </w:p>
    <w:p w:rsidR="004B3A90" w:rsidRDefault="004B3A90">
      <w:pPr>
        <w:pStyle w:val="ConsPlusTitle"/>
        <w:jc w:val="center"/>
      </w:pPr>
      <w:r>
        <w:t>ПИСЬМО</w:t>
      </w:r>
    </w:p>
    <w:p w:rsidR="004B3A90" w:rsidRDefault="004B3A90">
      <w:pPr>
        <w:pStyle w:val="ConsPlusTitle"/>
        <w:jc w:val="center"/>
      </w:pPr>
      <w:r>
        <w:t>от 7 февраля 2019 г. N АЦ/8476/19</w:t>
      </w:r>
    </w:p>
    <w:p w:rsidR="004B3A90" w:rsidRDefault="004B3A90">
      <w:pPr>
        <w:pStyle w:val="ConsPlusTitle"/>
        <w:jc w:val="center"/>
      </w:pPr>
    </w:p>
    <w:p w:rsidR="004B3A90" w:rsidRDefault="004B3A90">
      <w:pPr>
        <w:pStyle w:val="ConsPlusTitle"/>
        <w:jc w:val="center"/>
      </w:pPr>
      <w:r>
        <w:t>О РАССМОТРЕНИИ</w:t>
      </w:r>
    </w:p>
    <w:p w:rsidR="004B3A90" w:rsidRDefault="004B3A90">
      <w:pPr>
        <w:pStyle w:val="ConsPlusTitle"/>
        <w:jc w:val="center"/>
      </w:pPr>
      <w:r>
        <w:t>ОБРАЩЕНИЯ ПО ВОПРОСУ ФОРМИРОВАНИЯ НАДБАВОК К ЦЕНАМ</w:t>
      </w:r>
    </w:p>
    <w:p w:rsidR="004B3A90" w:rsidRDefault="004B3A90">
      <w:pPr>
        <w:pStyle w:val="ConsPlusTitle"/>
        <w:jc w:val="center"/>
      </w:pPr>
      <w:r>
        <w:t>НА ЛЕКАРСТВЕННЫЕ ПРЕПАРАТЫ</w:t>
      </w:r>
    </w:p>
    <w:p w:rsidR="004B3A90" w:rsidRDefault="004B3A90">
      <w:pPr>
        <w:pStyle w:val="ConsPlusNormal"/>
        <w:ind w:firstLine="540"/>
        <w:jc w:val="both"/>
      </w:pPr>
    </w:p>
    <w:p w:rsidR="004B3A90" w:rsidRDefault="004B3A90">
      <w:pPr>
        <w:pStyle w:val="ConsPlusNormal"/>
        <w:ind w:firstLine="540"/>
        <w:jc w:val="both"/>
      </w:pPr>
      <w:proofErr w:type="gramStart"/>
      <w:r>
        <w:t xml:space="preserve">Федеральная антимонопольная служба рассмотрела обращение (далее - Обращение) по вопросу формирования организациями оптовой торговли и организациями розничной торговли отпускных цен на лекарственные препараты, включенные в </w:t>
      </w:r>
      <w:hyperlink r:id="rId6" w:history="1">
        <w:r>
          <w:rPr>
            <w:color w:val="0000FF"/>
          </w:rPr>
          <w:t>перечень</w:t>
        </w:r>
      </w:hyperlink>
      <w:r>
        <w:t xml:space="preserve"> жизненно необходимых и важнейших лекарственных препаратов (далее - Перечень ЖНВЛП), приобретенные ими до принятия органом исполнительной власти субъекта Российской Федерации решения о снижении установленных предельных размеров оптовых и розничных надбавок к фактическим отпускным ценам производителей на</w:t>
      </w:r>
      <w:proofErr w:type="gramEnd"/>
      <w:r>
        <w:t xml:space="preserve"> лекарственные препараты, включенные в </w:t>
      </w:r>
      <w:hyperlink r:id="rId7" w:history="1">
        <w:r>
          <w:rPr>
            <w:color w:val="0000FF"/>
          </w:rPr>
          <w:t>Перечень</w:t>
        </w:r>
      </w:hyperlink>
      <w:r>
        <w:t xml:space="preserve"> ЖНВЛП.</w:t>
      </w:r>
    </w:p>
    <w:p w:rsidR="004B3A90" w:rsidRDefault="004B3A90">
      <w:pPr>
        <w:pStyle w:val="ConsPlusNormal"/>
        <w:spacing w:before="220"/>
        <w:ind w:firstLine="540"/>
        <w:jc w:val="both"/>
      </w:pPr>
      <w:proofErr w:type="gramStart"/>
      <w:r>
        <w:t xml:space="preserve">В соответствии с </w:t>
      </w:r>
      <w:hyperlink r:id="rId8" w:history="1">
        <w:r>
          <w:rPr>
            <w:color w:val="0000FF"/>
          </w:rPr>
          <w:t>частью 2 статьи 63</w:t>
        </w:r>
      </w:hyperlink>
      <w:r>
        <w:t xml:space="preserve"> Федерального закона от 12.04.2010 N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9" w:history="1">
        <w:r>
          <w:rPr>
            <w:color w:val="0000FF"/>
          </w:rPr>
          <w:t>Перечень</w:t>
        </w:r>
      </w:hyperlink>
      <w:r>
        <w:t xml:space="preserve"> ЖНВЛП,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w:t>
      </w:r>
      <w:proofErr w:type="gramEnd"/>
      <w:r>
        <w:t xml:space="preserve">,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w:t>
      </w:r>
      <w:proofErr w:type="gramStart"/>
      <w:r>
        <w:t>установленных</w:t>
      </w:r>
      <w:proofErr w:type="gramEnd"/>
      <w:r>
        <w:t xml:space="preserve"> в субъекте Российской Федерации.</w:t>
      </w:r>
    </w:p>
    <w:p w:rsidR="004B3A90" w:rsidRDefault="004B3A90">
      <w:pPr>
        <w:pStyle w:val="ConsPlusNormal"/>
        <w:spacing w:before="220"/>
        <w:ind w:firstLine="540"/>
        <w:jc w:val="both"/>
      </w:pPr>
      <w:r>
        <w:t>Исходя из изложенного, ФАС России сообщает следующее.</w:t>
      </w:r>
    </w:p>
    <w:p w:rsidR="004B3A90" w:rsidRDefault="004B3A90">
      <w:pPr>
        <w:pStyle w:val="ConsPlusNormal"/>
        <w:spacing w:before="220"/>
        <w:ind w:firstLine="540"/>
        <w:jc w:val="both"/>
      </w:pPr>
      <w:r>
        <w:t xml:space="preserve">1. </w:t>
      </w:r>
      <w:proofErr w:type="gramStart"/>
      <w:r>
        <w:t xml:space="preserve">В соответствии с </w:t>
      </w:r>
      <w:hyperlink r:id="rId10" w:history="1">
        <w:r>
          <w:rPr>
            <w:color w:val="0000FF"/>
          </w:rPr>
          <w:t>частью 4</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29.10.2010 N 865 (далее - Правила), сумма оптовых надбавок к фактической отпускной цене производителя на лекарственный препарат, применяемых всеми</w:t>
      </w:r>
      <w:proofErr w:type="gramEnd"/>
      <w:r>
        <w:t xml:space="preserve">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w:t>
      </w:r>
    </w:p>
    <w:p w:rsidR="004B3A90" w:rsidRDefault="004B3A90">
      <w:pPr>
        <w:pStyle w:val="ConsPlusNormal"/>
        <w:spacing w:before="220"/>
        <w:ind w:firstLine="540"/>
        <w:jc w:val="both"/>
      </w:pPr>
      <w:r>
        <w:t xml:space="preserve">То есть формирование оптовой надбавки к цене на лекарственный препарат, включенный в </w:t>
      </w:r>
      <w:hyperlink r:id="rId11" w:history="1">
        <w:r>
          <w:rPr>
            <w:color w:val="0000FF"/>
          </w:rPr>
          <w:t>Перечень</w:t>
        </w:r>
      </w:hyperlink>
      <w:r>
        <w:t xml:space="preserve"> ЖНВЛП, организациями оптовой торговли поставлено в зависимость от размера оптовой надбавки, примененной предшествующими организациями оптовой торговли, участвующими в цепи реализации соответствующего лекарственного препарата.</w:t>
      </w:r>
    </w:p>
    <w:p w:rsidR="004B3A90" w:rsidRDefault="004B3A90">
      <w:pPr>
        <w:pStyle w:val="ConsPlusNormal"/>
        <w:spacing w:before="220"/>
        <w:ind w:firstLine="540"/>
        <w:jc w:val="both"/>
      </w:pPr>
      <w:proofErr w:type="gramStart"/>
      <w:r>
        <w:t xml:space="preserve">Таким образом, процесс формирования оптовой надбавки к цене на лекарственный препарат, включенный в </w:t>
      </w:r>
      <w:hyperlink r:id="rId12" w:history="1">
        <w:r>
          <w:rPr>
            <w:color w:val="0000FF"/>
          </w:rPr>
          <w:t>Перечень</w:t>
        </w:r>
      </w:hyperlink>
      <w:r>
        <w:t xml:space="preserve"> ЖНВЛП, в контексте рассмотрения вопроса о том, как организация оптовой торговли, которая приобрела лекарственный препарат до снижения установленных органом исполнительной власти субъекта Российской Федерации предельных размеров оптовых надбавок, должна формировать отпускную цену на указанный лекарственный препарат, следует рассматривать как одно единое правоотношение, начинающееся с реализации первой</w:t>
      </w:r>
      <w:proofErr w:type="gramEnd"/>
      <w:r>
        <w:t xml:space="preserve"> организацией оптовой торговли лекарственного препарата и </w:t>
      </w:r>
      <w:proofErr w:type="gramStart"/>
      <w:r>
        <w:t>заканчивающееся</w:t>
      </w:r>
      <w:proofErr w:type="gramEnd"/>
      <w:r>
        <w:t xml:space="preserve"> </w:t>
      </w:r>
      <w:r>
        <w:lastRenderedPageBreak/>
        <w:t>реализацией этого лекарственного препарата организации розничной торговли.</w:t>
      </w:r>
    </w:p>
    <w:p w:rsidR="004B3A90" w:rsidRDefault="004B3A90">
      <w:pPr>
        <w:pStyle w:val="ConsPlusNormal"/>
        <w:spacing w:before="220"/>
        <w:ind w:firstLine="540"/>
        <w:jc w:val="both"/>
      </w:pPr>
      <w:r>
        <w:t>Исходя из общеправового принципа действия закона во времени, правовые нормы распространяются на правоотношения, возникшие после введения в действие данных норм. К правоотношениям, возникшим до введения правовой нормы в действие, соответствующая норма не применяется.</w:t>
      </w:r>
    </w:p>
    <w:p w:rsidR="004B3A90" w:rsidRDefault="004B3A90">
      <w:pPr>
        <w:pStyle w:val="ConsPlusNormal"/>
        <w:spacing w:before="220"/>
        <w:ind w:firstLine="540"/>
        <w:jc w:val="both"/>
      </w:pPr>
      <w:proofErr w:type="gramStart"/>
      <w:r>
        <w:t xml:space="preserve">Соответственно, в контексте рассмотрения указанного в Обращении вопроса, на процесс формирования оптовой надбавки к цене на лекарственный препарат, включенный в </w:t>
      </w:r>
      <w:hyperlink r:id="rId13" w:history="1">
        <w:r>
          <w:rPr>
            <w:color w:val="0000FF"/>
          </w:rPr>
          <w:t>Перечень</w:t>
        </w:r>
      </w:hyperlink>
      <w:r>
        <w:t xml:space="preserve"> ЖНВЛП, распространяются правовые нормы, действующие в момент начала данного процесса, а именно - в момент реализации (до снижения установленных предельных размеров оптовых надбавок) лекарственного препарата первой организацией оптовой торговли, реализовавшей лекарственный препарат с применением оптовой надбавки.</w:t>
      </w:r>
      <w:proofErr w:type="gramEnd"/>
    </w:p>
    <w:p w:rsidR="004B3A90" w:rsidRDefault="004B3A90">
      <w:pPr>
        <w:pStyle w:val="ConsPlusNormal"/>
        <w:spacing w:before="220"/>
        <w:ind w:firstLine="540"/>
        <w:jc w:val="both"/>
      </w:pPr>
      <w:r>
        <w:t xml:space="preserve">В силу </w:t>
      </w:r>
      <w:hyperlink r:id="rId14" w:history="1">
        <w:r>
          <w:rPr>
            <w:color w:val="0000FF"/>
          </w:rPr>
          <w:t>абзаца 1 части 1 статьи 4</w:t>
        </w:r>
      </w:hyperlink>
      <w:r>
        <w:t xml:space="preserve">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w:t>
      </w:r>
    </w:p>
    <w:p w:rsidR="004B3A90" w:rsidRDefault="004B3A90">
      <w:pPr>
        <w:pStyle w:val="ConsPlusNormal"/>
        <w:spacing w:before="220"/>
        <w:ind w:firstLine="540"/>
        <w:jc w:val="both"/>
      </w:pPr>
      <w:r>
        <w:t xml:space="preserve">Согласно </w:t>
      </w:r>
      <w:hyperlink r:id="rId15" w:history="1">
        <w:r>
          <w:rPr>
            <w:color w:val="0000FF"/>
          </w:rPr>
          <w:t>части 2 статьи 422</w:t>
        </w:r>
      </w:hyperlink>
      <w:r>
        <w:t xml:space="preserve">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B3A90" w:rsidRDefault="004B3A90">
      <w:pPr>
        <w:pStyle w:val="ConsPlusNormal"/>
        <w:spacing w:before="220"/>
        <w:ind w:firstLine="540"/>
        <w:jc w:val="both"/>
      </w:pPr>
      <w:proofErr w:type="gramStart"/>
      <w:r>
        <w:t xml:space="preserve">В связи с изложенным, по мнению ФАС России, в случае приобретения организацией оптовой торговли лекарственного препарата, включенного в </w:t>
      </w:r>
      <w:hyperlink r:id="rId16" w:history="1">
        <w:r>
          <w:rPr>
            <w:color w:val="0000FF"/>
          </w:rPr>
          <w:t>Перечень</w:t>
        </w:r>
      </w:hyperlink>
      <w:r>
        <w:t xml:space="preserve"> ЖНВЛП, у другой организации оптовой торговли, до снижения установленных предельных размеров оптовых надбавок, оптовая надбавка исчисляется организацией оптовой торговли исходя из размера, не превышающего разницу между предельным размером оптовой надбавки, установленной в субъекте Российской Федерации, на дату приобретения лекарственного препарата у</w:t>
      </w:r>
      <w:proofErr w:type="gramEnd"/>
      <w:r>
        <w:t xml:space="preserve"> организации оптовой торговли (до снижения установленных предельных размеров оптовых надбавок), исчисленной от фактической отпускной цены производителя без НДС, и размером оптовой надбавки, примененной предыдущими организациями оптовой торговли (до снижения установленных предельных размеров оптовых надбавок).</w:t>
      </w:r>
    </w:p>
    <w:p w:rsidR="004B3A90" w:rsidRDefault="004B3A90">
      <w:pPr>
        <w:pStyle w:val="ConsPlusNormal"/>
        <w:spacing w:before="220"/>
        <w:ind w:firstLine="540"/>
        <w:jc w:val="both"/>
      </w:pPr>
      <w:r>
        <w:t>2. В случае</w:t>
      </w:r>
      <w:proofErr w:type="gramStart"/>
      <w:r>
        <w:t>,</w:t>
      </w:r>
      <w:proofErr w:type="gramEnd"/>
      <w:r>
        <w:t xml:space="preserve"> если первая организация оптовой торговли приобрела лекарственный препарат, включенный в </w:t>
      </w:r>
      <w:hyperlink r:id="rId17" w:history="1">
        <w:r>
          <w:rPr>
            <w:color w:val="0000FF"/>
          </w:rPr>
          <w:t>Перечень</w:t>
        </w:r>
      </w:hyperlink>
      <w:r>
        <w:t xml:space="preserve"> ЖНВЛП, у производителя лекарственного препарата до снижения установленных предельных размеров оптовых надбавок, однако реализация данного лекарственного препарата последующим организациям оптовой торговли или организациям розничной торговли еще не началась, при формировании оптовых надбавок необходимо исходить из следующего.</w:t>
      </w:r>
    </w:p>
    <w:p w:rsidR="004B3A90" w:rsidRDefault="004B3A90">
      <w:pPr>
        <w:pStyle w:val="ConsPlusNormal"/>
        <w:spacing w:before="220"/>
        <w:ind w:firstLine="540"/>
        <w:jc w:val="both"/>
      </w:pPr>
      <w:r>
        <w:t xml:space="preserve">Как отмечалось выше, формирование оптовой надбавки к цене на лекарственный препарат, включенный в </w:t>
      </w:r>
      <w:hyperlink r:id="rId18" w:history="1">
        <w:r>
          <w:rPr>
            <w:color w:val="0000FF"/>
          </w:rPr>
          <w:t>Перечень</w:t>
        </w:r>
      </w:hyperlink>
      <w:r>
        <w:t xml:space="preserve"> ЖНВЛП, организациями оптовой торговли поставлено в зависимость от размера оптовой надбавки, примененной предшествующими организациями оптовой торговли, участвующими в цепи реализации соответствующего лекарственного препарата.</w:t>
      </w:r>
    </w:p>
    <w:p w:rsidR="004B3A90" w:rsidRDefault="004B3A90">
      <w:pPr>
        <w:pStyle w:val="ConsPlusNormal"/>
        <w:spacing w:before="220"/>
        <w:ind w:firstLine="540"/>
        <w:jc w:val="both"/>
      </w:pPr>
      <w:proofErr w:type="gramStart"/>
      <w:r>
        <w:t xml:space="preserve">Процесс формирования оптовой надбавки к цене на лекарственный препарат, включенный в </w:t>
      </w:r>
      <w:hyperlink r:id="rId19" w:history="1">
        <w:r>
          <w:rPr>
            <w:color w:val="0000FF"/>
          </w:rPr>
          <w:t>Перечень</w:t>
        </w:r>
      </w:hyperlink>
      <w:r>
        <w:t xml:space="preserve"> ЖНВЛП, в контексте рассмотрения вопроса о том, как организация оптовой торговли, которая приобрела лекарственный препарат до снижения установленных органом исполнительной власти субъекта Российской Федерации предельных размеров оптовых надбавок, должна формировать отпускную цену на указанный лекарственный препарат, следует рассматривать как одно единое правоотношение, начинающееся с реализации организацией оптовой торговли</w:t>
      </w:r>
      <w:proofErr w:type="gramEnd"/>
      <w:r>
        <w:t xml:space="preserve"> лекарственного препарата и </w:t>
      </w:r>
      <w:proofErr w:type="gramStart"/>
      <w:r>
        <w:t>заканчивающееся</w:t>
      </w:r>
      <w:proofErr w:type="gramEnd"/>
      <w:r>
        <w:t xml:space="preserve"> реализацией этого лекарственного препарата организации розничной торговли.</w:t>
      </w:r>
    </w:p>
    <w:p w:rsidR="004B3A90" w:rsidRDefault="004B3A90">
      <w:pPr>
        <w:pStyle w:val="ConsPlusNormal"/>
        <w:spacing w:before="220"/>
        <w:ind w:firstLine="540"/>
        <w:jc w:val="both"/>
      </w:pPr>
      <w:r>
        <w:lastRenderedPageBreak/>
        <w:t xml:space="preserve">Поскольку первая организация оптовой торговли в рассматриваемом случае еще не начала реализацию приобретенного у производителя лекарственного препарата, включенного в </w:t>
      </w:r>
      <w:hyperlink r:id="rId20" w:history="1">
        <w:r>
          <w:rPr>
            <w:color w:val="0000FF"/>
          </w:rPr>
          <w:t>Перечень</w:t>
        </w:r>
      </w:hyperlink>
      <w:r>
        <w:t xml:space="preserve"> ЖНВЛП, следовательно, в момент снижения установленных предельных размеров оптовых надбавок, процесс формирования оптовой надбавки к цене на данный лекарственный препарат еще не начался.</w:t>
      </w:r>
    </w:p>
    <w:p w:rsidR="004B3A90" w:rsidRDefault="004B3A90">
      <w:pPr>
        <w:pStyle w:val="ConsPlusNormal"/>
        <w:spacing w:before="220"/>
        <w:ind w:firstLine="540"/>
        <w:jc w:val="both"/>
      </w:pPr>
      <w:proofErr w:type="gramStart"/>
      <w:r>
        <w:t xml:space="preserve">Как отмечалось выше, на процесс формирования оптовой надбавки к цене на лекарственный препарат, включенный в </w:t>
      </w:r>
      <w:hyperlink r:id="rId21" w:history="1">
        <w:r>
          <w:rPr>
            <w:color w:val="0000FF"/>
          </w:rPr>
          <w:t>Перечень</w:t>
        </w:r>
      </w:hyperlink>
      <w:r>
        <w:t xml:space="preserve"> ЖНВЛП, распространяются правовые нормы, действующие в момент начала данного процесса, а именно - в момент реализации (до снижения установленных предельных размеров оптовых надбавок) лекарственного препарата первой организацией оптовой торговли, реализовавшей лекарственный препарат с применением оптовой надбавки.</w:t>
      </w:r>
      <w:proofErr w:type="gramEnd"/>
    </w:p>
    <w:p w:rsidR="004B3A90" w:rsidRDefault="004B3A90">
      <w:pPr>
        <w:pStyle w:val="ConsPlusNormal"/>
        <w:spacing w:before="220"/>
        <w:ind w:firstLine="540"/>
        <w:jc w:val="both"/>
      </w:pPr>
      <w:r>
        <w:t xml:space="preserve">Соответственно, в данном случае процесс формирования надбавки к цене на лекарственный препарат, включенный в </w:t>
      </w:r>
      <w:hyperlink r:id="rId22" w:history="1">
        <w:r>
          <w:rPr>
            <w:color w:val="0000FF"/>
          </w:rPr>
          <w:t>Перечень</w:t>
        </w:r>
      </w:hyperlink>
      <w:r>
        <w:t xml:space="preserve"> ЖНВЛП, начнется формированием оптовой надбавки первой организацией оптовой торговли исходя из установленных предельных размеров оптовых надбавок после их снижения.</w:t>
      </w:r>
    </w:p>
    <w:p w:rsidR="004B3A90" w:rsidRDefault="004B3A90">
      <w:pPr>
        <w:pStyle w:val="ConsPlusNormal"/>
        <w:spacing w:before="220"/>
        <w:ind w:firstLine="540"/>
        <w:jc w:val="both"/>
      </w:pPr>
      <w:proofErr w:type="gramStart"/>
      <w:r>
        <w:t>Исходя из изложенного, в рассматриваемом случае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 после снижения установленных предельных размеров оптовых надбавок.</w:t>
      </w:r>
      <w:proofErr w:type="gramEnd"/>
    </w:p>
    <w:p w:rsidR="004B3A90" w:rsidRDefault="004B3A90">
      <w:pPr>
        <w:pStyle w:val="ConsPlusNormal"/>
        <w:spacing w:before="220"/>
        <w:ind w:firstLine="540"/>
        <w:jc w:val="both"/>
      </w:pPr>
      <w:r>
        <w:t xml:space="preserve">3. В соответствии с </w:t>
      </w:r>
      <w:hyperlink r:id="rId23" w:history="1">
        <w:r>
          <w:rPr>
            <w:color w:val="0000FF"/>
          </w:rPr>
          <w:t>пунктом 5</w:t>
        </w:r>
      </w:hyperlink>
      <w:r>
        <w:t xml:space="preserve"> Правил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4B3A90" w:rsidRDefault="004B3A90">
      <w:pPr>
        <w:pStyle w:val="ConsPlusNormal"/>
        <w:spacing w:before="220"/>
        <w:ind w:firstLine="540"/>
        <w:jc w:val="both"/>
      </w:pPr>
      <w:proofErr w:type="gramStart"/>
      <w:r>
        <w:t xml:space="preserve">Исходя из изложенного, организации розничной торговли во всех случаях формируют розничную надбавку исходя из предельного размера розничной надбавки, установленного органом исполнительной власти субъекта Российской Федерации (на дату реализации конечному потребителю) и суммируют ее с ценой приобретения лекарственного препарата, включенного в </w:t>
      </w:r>
      <w:hyperlink r:id="rId24" w:history="1">
        <w:r>
          <w:rPr>
            <w:color w:val="0000FF"/>
          </w:rPr>
          <w:t>Перечень</w:t>
        </w:r>
      </w:hyperlink>
      <w:r>
        <w:t xml:space="preserve"> ЖНВЛП.</w:t>
      </w:r>
      <w:proofErr w:type="gramEnd"/>
    </w:p>
    <w:p w:rsidR="004B3A90" w:rsidRDefault="004B3A90">
      <w:pPr>
        <w:pStyle w:val="ConsPlusNormal"/>
        <w:ind w:firstLine="540"/>
        <w:jc w:val="both"/>
      </w:pPr>
    </w:p>
    <w:p w:rsidR="004B3A90" w:rsidRDefault="004B3A90">
      <w:pPr>
        <w:pStyle w:val="ConsPlusNormal"/>
        <w:jc w:val="right"/>
      </w:pPr>
      <w:r>
        <w:t>А.Ю.ЦАРИКОВСКИЙ</w:t>
      </w:r>
    </w:p>
    <w:p w:rsidR="004B3A90" w:rsidRDefault="004B3A90">
      <w:pPr>
        <w:pStyle w:val="ConsPlusNormal"/>
        <w:ind w:firstLine="540"/>
        <w:jc w:val="both"/>
      </w:pPr>
    </w:p>
    <w:p w:rsidR="004B3A90" w:rsidRDefault="004B3A90">
      <w:pPr>
        <w:pStyle w:val="ConsPlusNormal"/>
        <w:ind w:firstLine="540"/>
        <w:jc w:val="both"/>
      </w:pPr>
    </w:p>
    <w:p w:rsidR="004B3A90" w:rsidRDefault="004B3A90">
      <w:pPr>
        <w:pStyle w:val="ConsPlusNormal"/>
        <w:pBdr>
          <w:top w:val="single" w:sz="6" w:space="0" w:color="auto"/>
        </w:pBdr>
        <w:spacing w:before="100" w:after="100"/>
        <w:jc w:val="both"/>
        <w:rPr>
          <w:sz w:val="2"/>
          <w:szCs w:val="2"/>
        </w:rPr>
      </w:pPr>
    </w:p>
    <w:p w:rsidR="009A1B0A" w:rsidRDefault="009A1B0A">
      <w:bookmarkStart w:id="0" w:name="_GoBack"/>
      <w:bookmarkEnd w:id="0"/>
    </w:p>
    <w:sectPr w:rsidR="009A1B0A" w:rsidSect="007F7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90"/>
    <w:rsid w:val="004B3A90"/>
    <w:rsid w:val="009A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A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3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3A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5D206A91B41E4E31A4D443257D69E93B5F84532F805E7D35A5A404AAA6B4C8C432B5643D8D5DDC516DED4096AFAF81B601549641F8C962EqBK" TargetMode="External"/><Relationship Id="rId13" Type="http://schemas.openxmlformats.org/officeDocument/2006/relationships/hyperlink" Target="consultantplus://offline/ref=6365D206A91B41E4E31A4D443257D69E93B5FF4D3FF505E7D35A5A404AAA6B4C8C432B5643D8D3D4C616DED4096AFAF81B601549641F8C962EqBK" TargetMode="External"/><Relationship Id="rId18" Type="http://schemas.openxmlformats.org/officeDocument/2006/relationships/hyperlink" Target="consultantplus://offline/ref=6365D206A91B41E4E31A4D443257D69E93B5FF4D3FF505E7D35A5A404AAA6B4C8C432B5643D8D3D4C616DED4096AFAF81B601549641F8C962EqB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365D206A91B41E4E31A4D443257D69E93B5FF4D3FF505E7D35A5A404AAA6B4C8C432B5643D8D3D4C616DED4096AFAF81B601549641F8C962EqBK" TargetMode="External"/><Relationship Id="rId7" Type="http://schemas.openxmlformats.org/officeDocument/2006/relationships/hyperlink" Target="consultantplus://offline/ref=6365D206A91B41E4E31A4D443257D69E93B5FF4D3FF505E7D35A5A404AAA6B4C8C432B5643D8D3D4C616DED4096AFAF81B601549641F8C962EqBK" TargetMode="External"/><Relationship Id="rId12" Type="http://schemas.openxmlformats.org/officeDocument/2006/relationships/hyperlink" Target="consultantplus://offline/ref=6365D206A91B41E4E31A4D443257D69E93B5FF4D3FF505E7D35A5A404AAA6B4C8C432B5643D8D3D4C616DED4096AFAF81B601549641F8C962EqBK" TargetMode="External"/><Relationship Id="rId17" Type="http://schemas.openxmlformats.org/officeDocument/2006/relationships/hyperlink" Target="consultantplus://offline/ref=6365D206A91B41E4E31A4D443257D69E93B5FF4D3FF505E7D35A5A404AAA6B4C8C432B5643D8D3D4C616DED4096AFAF81B601549641F8C962EqB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365D206A91B41E4E31A4D443257D69E93B5FF4D3FF505E7D35A5A404AAA6B4C8C432B5643D8D3D4C616DED4096AFAF81B601549641F8C962EqBK" TargetMode="External"/><Relationship Id="rId20" Type="http://schemas.openxmlformats.org/officeDocument/2006/relationships/hyperlink" Target="consultantplus://offline/ref=6365D206A91B41E4E31A4D443257D69E93B5FF4D3FF505E7D35A5A404AAA6B4C8C432B5643D8D3D4C616DED4096AFAF81B601549641F8C962EqBK" TargetMode="External"/><Relationship Id="rId1" Type="http://schemas.openxmlformats.org/officeDocument/2006/relationships/styles" Target="styles.xml"/><Relationship Id="rId6" Type="http://schemas.openxmlformats.org/officeDocument/2006/relationships/hyperlink" Target="consultantplus://offline/ref=6365D206A91B41E4E31A4D443257D69E93B5FF4D3FF505E7D35A5A404AAA6B4C8C432B5643D8D3D4C616DED4096AFAF81B601549641F8C962EqBK" TargetMode="External"/><Relationship Id="rId11" Type="http://schemas.openxmlformats.org/officeDocument/2006/relationships/hyperlink" Target="consultantplus://offline/ref=6365D206A91B41E4E31A4D443257D69E93B5FF4D3FF505E7D35A5A404AAA6B4C8C432B5643D8D3D4C616DED4096AFAF81B601549641F8C962EqBK" TargetMode="External"/><Relationship Id="rId24" Type="http://schemas.openxmlformats.org/officeDocument/2006/relationships/hyperlink" Target="consultantplus://offline/ref=6365D206A91B41E4E31A4D443257D69E93B5FF4D3FF505E7D35A5A404AAA6B4C8C432B5643D8D3D4C616DED4096AFAF81B601549641F8C962Eq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65D206A91B41E4E31A4D443257D69E93B4FC4535F205E7D35A5A404AAA6B4C8C432B5643D9DADCCD16DED4096AFAF81B601549641F8C962EqBK" TargetMode="External"/><Relationship Id="rId23" Type="http://schemas.openxmlformats.org/officeDocument/2006/relationships/hyperlink" Target="consultantplus://offline/ref=6365D206A91B41E4E31A4D443257D69E93B4F54F33F005E7D35A5A404AAA6B4C8C432B5643D8D3DCC616DED4096AFAF81B601549641F8C962EqBK" TargetMode="External"/><Relationship Id="rId10" Type="http://schemas.openxmlformats.org/officeDocument/2006/relationships/hyperlink" Target="consultantplus://offline/ref=6365D206A91B41E4E31A4D443257D69E93B4F54F33F005E7D35A5A404AAA6B4C8C432B5643D8D3DCC516DED4096AFAF81B601549641F8C962EqBK" TargetMode="External"/><Relationship Id="rId19" Type="http://schemas.openxmlformats.org/officeDocument/2006/relationships/hyperlink" Target="consultantplus://offline/ref=6365D206A91B41E4E31A4D443257D69E93B5FF4D3FF505E7D35A5A404AAA6B4C8C432B5643D8D3D4C616DED4096AFAF81B601549641F8C962EqBK" TargetMode="External"/><Relationship Id="rId4" Type="http://schemas.openxmlformats.org/officeDocument/2006/relationships/webSettings" Target="webSettings.xml"/><Relationship Id="rId9" Type="http://schemas.openxmlformats.org/officeDocument/2006/relationships/hyperlink" Target="consultantplus://offline/ref=6365D206A91B41E4E31A4D443257D69E93B5FF4D3FF505E7D35A5A404AAA6B4C8C432B5643D8D3D4C616DED4096AFAF81B601549641F8C962EqBK" TargetMode="External"/><Relationship Id="rId14" Type="http://schemas.openxmlformats.org/officeDocument/2006/relationships/hyperlink" Target="consultantplus://offline/ref=6365D206A91B41E4E31A4D443257D69E93B4FC4535F205E7D35A5A404AAA6B4C8C432B5643D8D3D6C716DED4096AFAF81B601549641F8C962EqBK" TargetMode="External"/><Relationship Id="rId22" Type="http://schemas.openxmlformats.org/officeDocument/2006/relationships/hyperlink" Target="consultantplus://offline/ref=6365D206A91B41E4E31A4D443257D69E93B5FF4D3FF505E7D35A5A404AAA6B4C8C432B5643D8D3D4C616DED4096AFAF81B601549641F8C962E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2019-04-04T10:42:00Z</dcterms:created>
  <dcterms:modified xsi:type="dcterms:W3CDTF">2019-04-04T10:53:00Z</dcterms:modified>
</cp:coreProperties>
</file>